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BF6" w:rsidRPr="00A15BF6" w:rsidRDefault="00A15BF6" w:rsidP="00A15BF6">
      <w:pPr>
        <w:rPr>
          <w:sz w:val="22"/>
          <w:szCs w:val="22"/>
        </w:rPr>
      </w:pPr>
      <w:r w:rsidRPr="00A15BF6">
        <w:rPr>
          <w:sz w:val="22"/>
          <w:szCs w:val="22"/>
        </w:rPr>
        <w:t>As we have done for over a decade, it's time for our Annual forecast for 2012.  Before we begin, let me start by expressing our sincere gratitude to our clients for entrusting in us some of your most important business decisions.  We don’t take your confidence in us lightly and will continue to deliver trusted, reliable advice to you our partners.</w:t>
      </w:r>
    </w:p>
    <w:p w:rsidR="00A15BF6" w:rsidRPr="00A15BF6" w:rsidRDefault="00A15BF6" w:rsidP="00A15BF6">
      <w:pPr>
        <w:rPr>
          <w:sz w:val="22"/>
          <w:szCs w:val="22"/>
        </w:rPr>
      </w:pPr>
    </w:p>
    <w:p w:rsidR="00A15BF6" w:rsidRPr="00A15BF6" w:rsidRDefault="00A15BF6" w:rsidP="00A15BF6">
      <w:pPr>
        <w:rPr>
          <w:sz w:val="22"/>
          <w:szCs w:val="22"/>
        </w:rPr>
      </w:pPr>
      <w:r w:rsidRPr="00A15BF6">
        <w:rPr>
          <w:sz w:val="22"/>
          <w:szCs w:val="22"/>
        </w:rPr>
        <w:t xml:space="preserve">Our annual forecast is available on our website </w:t>
      </w:r>
      <w:hyperlink r:id="rId8" w:history="1">
        <w:r w:rsidRPr="0030446B">
          <w:rPr>
            <w:rStyle w:val="Hyperlink"/>
            <w:sz w:val="22"/>
            <w:szCs w:val="22"/>
          </w:rPr>
          <w:t>http://empyreanfunding.com/money.html</w:t>
        </w:r>
      </w:hyperlink>
      <w:r>
        <w:rPr>
          <w:sz w:val="22"/>
          <w:szCs w:val="22"/>
        </w:rPr>
        <w:t xml:space="preserve"> </w:t>
      </w:r>
      <w:bookmarkStart w:id="0" w:name="_GoBack"/>
      <w:bookmarkEnd w:id="0"/>
      <w:r w:rsidRPr="00A15BF6">
        <w:rPr>
          <w:sz w:val="22"/>
          <w:szCs w:val="22"/>
        </w:rPr>
        <w:t xml:space="preserve"> </w:t>
      </w:r>
    </w:p>
    <w:p w:rsidR="00A15BF6" w:rsidRPr="00A15BF6" w:rsidRDefault="00A15BF6" w:rsidP="00A15BF6">
      <w:pPr>
        <w:rPr>
          <w:sz w:val="22"/>
          <w:szCs w:val="22"/>
        </w:rPr>
      </w:pPr>
      <w:r w:rsidRPr="00A15BF6">
        <w:rPr>
          <w:sz w:val="22"/>
          <w:szCs w:val="22"/>
        </w:rPr>
        <w:t>I strongly encourage all of you to peruse our annual forecasts from the last five years to see how accurate we have been with most of our predictions.  While a one year forward prediction is not too complex, a look back at a longer trend is much more difficult and a true testament to our ability to look forward and provide guidance that is clear, comprehendible and most importantly reliable and accurate.</w:t>
      </w:r>
    </w:p>
    <w:p w:rsidR="00A15BF6" w:rsidRPr="00A15BF6" w:rsidRDefault="00A15BF6" w:rsidP="00A15BF6">
      <w:pPr>
        <w:rPr>
          <w:sz w:val="22"/>
          <w:szCs w:val="22"/>
        </w:rPr>
      </w:pPr>
    </w:p>
    <w:p w:rsidR="00A15BF6" w:rsidRPr="00A15BF6" w:rsidRDefault="00A15BF6" w:rsidP="00A15BF6">
      <w:pPr>
        <w:rPr>
          <w:sz w:val="22"/>
          <w:szCs w:val="22"/>
        </w:rPr>
      </w:pPr>
      <w:r w:rsidRPr="00A15BF6">
        <w:rPr>
          <w:sz w:val="22"/>
          <w:szCs w:val="22"/>
        </w:rPr>
        <w:t xml:space="preserve">Now on to 2012!  While our annual forecasts stay very focused on interest rates, economic forecasts and real estate, it's an election year so we have to touch on politics as  there appears to be a lot more at stake this election cycle as the country is very divided.  Unfortunately, there doesn’t appear to be anyone that can bring the sides closer to reduce the divide.  Ultimately, this divide will likely lead to a stalemate in terms of political power and the country will suffer financially as a result.  Our national debt and spending levels need to be brought down and controlled otherwise our global economic power will continue to decline.  </w:t>
      </w:r>
    </w:p>
    <w:p w:rsidR="00A15BF6" w:rsidRPr="00A15BF6" w:rsidRDefault="00A15BF6" w:rsidP="00A15BF6">
      <w:pPr>
        <w:rPr>
          <w:sz w:val="22"/>
          <w:szCs w:val="22"/>
        </w:rPr>
      </w:pPr>
    </w:p>
    <w:p w:rsidR="00A15BF6" w:rsidRPr="00A15BF6" w:rsidRDefault="00A15BF6" w:rsidP="00A15BF6">
      <w:pPr>
        <w:rPr>
          <w:sz w:val="22"/>
          <w:szCs w:val="22"/>
        </w:rPr>
      </w:pPr>
      <w:r w:rsidRPr="00A15BF6">
        <w:rPr>
          <w:sz w:val="22"/>
          <w:szCs w:val="22"/>
        </w:rPr>
        <w:t>Europe will continue to dominate the news as will continued unrest in the Middle East for the foreseeable future.  While our media and politicians at home continue to slam Germany for not opening up the printing press, I agree with Germany’s long term view and approach to systematically curing the problem not “band-aiding” it by printing money.  In fact, Germany like the U.S. has negative interest rates on some of its shorter term bonds as investors are actually paying the German government to hold their money!  Actually in recent German bond auctions, the amount of buyers looking to purchase German bonds exceeded supply by almost 2 to 1 meaning much more people are willing to pay the German government to hold their money than the government wants.</w:t>
      </w:r>
    </w:p>
    <w:p w:rsidR="00A15BF6" w:rsidRPr="00A15BF6" w:rsidRDefault="00A15BF6" w:rsidP="00A15BF6">
      <w:pPr>
        <w:rPr>
          <w:sz w:val="22"/>
          <w:szCs w:val="22"/>
        </w:rPr>
      </w:pPr>
    </w:p>
    <w:p w:rsidR="00A15BF6" w:rsidRPr="00A15BF6" w:rsidRDefault="00A15BF6" w:rsidP="00A15BF6">
      <w:pPr>
        <w:rPr>
          <w:sz w:val="22"/>
          <w:szCs w:val="22"/>
        </w:rPr>
      </w:pPr>
      <w:r w:rsidRPr="00A15BF6">
        <w:rPr>
          <w:sz w:val="22"/>
          <w:szCs w:val="22"/>
        </w:rPr>
        <w:t>At some point we too will have to make the tough decisions to fundamentally change the way our government operates and the massive over-spending must be cut back.  With economic growth (GDP) at below 2.50%, we will have no alternative but to cut back on spending.  If the economy grows at a faster pace than what I am predicting we can then decide how to deal with the excess cash flow, but for now we must cut back as much as possible.   Our 2011 prediction for GDP was at 2.0-2.50% and with revisions that will come out for 2011, our lower end range of our prediction will be right on target.</w:t>
      </w:r>
    </w:p>
    <w:p w:rsidR="00A15BF6" w:rsidRPr="00A15BF6" w:rsidRDefault="00A15BF6" w:rsidP="00A15BF6">
      <w:pPr>
        <w:rPr>
          <w:sz w:val="22"/>
          <w:szCs w:val="22"/>
        </w:rPr>
      </w:pPr>
    </w:p>
    <w:p w:rsidR="00A15BF6" w:rsidRPr="00A15BF6" w:rsidRDefault="00A15BF6" w:rsidP="00A15BF6">
      <w:pPr>
        <w:rPr>
          <w:sz w:val="22"/>
          <w:szCs w:val="22"/>
        </w:rPr>
      </w:pPr>
      <w:r w:rsidRPr="00A15BF6">
        <w:rPr>
          <w:sz w:val="22"/>
          <w:szCs w:val="22"/>
        </w:rPr>
        <w:t xml:space="preserve">Unemployment will remain stubbornly high.  A look into the current unemployment figures reveal that while the unemployment rate itself has dropped, true unemployment is still very high as the “participation rate” which measure the actual number of people eligible to work vs. those actually working is at a 30 year low currently at 64%.  An economic recovery will take much longer than most anticipate so a substantial improvement to unemployment is not expected for 2012.  </w:t>
      </w:r>
    </w:p>
    <w:p w:rsidR="00A15BF6" w:rsidRPr="00A15BF6" w:rsidRDefault="00A15BF6" w:rsidP="00A15BF6">
      <w:pPr>
        <w:rPr>
          <w:sz w:val="22"/>
          <w:szCs w:val="22"/>
        </w:rPr>
      </w:pPr>
      <w:r w:rsidRPr="00A15BF6">
        <w:rPr>
          <w:sz w:val="22"/>
          <w:szCs w:val="22"/>
        </w:rPr>
        <w:t xml:space="preserve">In 2011 we predicted that very little to no inflation would exist and for the most part we have been right.  We are still much more concerned about deflation in the near term than we are inflation.  There are significant economic uncertainties which will keep consumer sentiment tempered and demand fairly low as evidenced by the utilization rates.  Excess capacity and the lack of wage growth limit the possibility of real inflation for the time being.  Deleveraging will also be a major concern in the coming years as the massive debt bubble that exists globally continues to be reduced.  </w:t>
      </w:r>
    </w:p>
    <w:p w:rsidR="00A15BF6" w:rsidRPr="00A15BF6" w:rsidRDefault="00A15BF6" w:rsidP="00A15BF6">
      <w:pPr>
        <w:rPr>
          <w:sz w:val="22"/>
          <w:szCs w:val="22"/>
        </w:rPr>
      </w:pPr>
    </w:p>
    <w:p w:rsidR="00A15BF6" w:rsidRPr="00A15BF6" w:rsidRDefault="00A15BF6" w:rsidP="00A15BF6">
      <w:pPr>
        <w:rPr>
          <w:sz w:val="22"/>
          <w:szCs w:val="22"/>
        </w:rPr>
      </w:pPr>
      <w:r w:rsidRPr="00A15BF6">
        <w:rPr>
          <w:sz w:val="22"/>
          <w:szCs w:val="22"/>
        </w:rPr>
        <w:t xml:space="preserve">Now on to our favorite subject: the real estate and housing market.   The shadow inventory of unsold homes and higher commercial delinquencies will continue to dominate the real estate market well beyond 2012 as banks, </w:t>
      </w:r>
      <w:r w:rsidRPr="00A15BF6">
        <w:rPr>
          <w:sz w:val="22"/>
          <w:szCs w:val="22"/>
        </w:rPr>
        <w:lastRenderedPageBreak/>
        <w:t xml:space="preserve">financial institutions and governmental agencies continue to kick the can down the road.  I look for housing to continue to decline in 2012, but at a slower rate.  The overhang of problem loans and foreclosed homes will not go away until there is a fundamental shift in allowing banks to keep these bad assets on their books.  </w:t>
      </w:r>
    </w:p>
    <w:p w:rsidR="00A15BF6" w:rsidRPr="00A15BF6" w:rsidRDefault="00A15BF6" w:rsidP="00A15BF6">
      <w:pPr>
        <w:rPr>
          <w:sz w:val="22"/>
          <w:szCs w:val="22"/>
        </w:rPr>
      </w:pPr>
    </w:p>
    <w:p w:rsidR="00A15BF6" w:rsidRPr="00A15BF6" w:rsidRDefault="00A15BF6" w:rsidP="00A15BF6">
      <w:pPr>
        <w:rPr>
          <w:sz w:val="22"/>
          <w:szCs w:val="22"/>
        </w:rPr>
      </w:pPr>
      <w:r w:rsidRPr="00A15BF6">
        <w:rPr>
          <w:sz w:val="22"/>
          <w:szCs w:val="22"/>
        </w:rPr>
        <w:t xml:space="preserve">Last year we predicted that multi-family housing will be the sector to watch and were proven right by the increasing prices on apartment buildings as more people became renters.  I look for this trend to continue into 2012 and 2013.  Even with historic low interest rates, people are beginning to realize that the days of your home being an investment and a “piggy bank” are over.  A home is a luxury and should be treated as such. </w:t>
      </w:r>
    </w:p>
    <w:p w:rsidR="00A15BF6" w:rsidRPr="00A15BF6" w:rsidRDefault="00A15BF6" w:rsidP="00A15BF6">
      <w:pPr>
        <w:rPr>
          <w:sz w:val="22"/>
          <w:szCs w:val="22"/>
        </w:rPr>
      </w:pPr>
    </w:p>
    <w:p w:rsidR="00A15BF6" w:rsidRPr="00A15BF6" w:rsidRDefault="00A15BF6" w:rsidP="00A15BF6">
      <w:pPr>
        <w:rPr>
          <w:sz w:val="22"/>
          <w:szCs w:val="22"/>
        </w:rPr>
      </w:pPr>
      <w:r w:rsidRPr="00A15BF6">
        <w:rPr>
          <w:sz w:val="22"/>
          <w:szCs w:val="22"/>
        </w:rPr>
        <w:t xml:space="preserve">With historic low interest rates other commercial property types may also be very attractive, but local economic factors must be considered to determine the value of each investment as a stand-alone asset.   Unlike multi-family (apartment buildings), I don’t think there is another asset class that can be painted with a broad brush and must be viewed on a case specific basis, which is where our expertise pays off.  </w:t>
      </w:r>
    </w:p>
    <w:p w:rsidR="00A15BF6" w:rsidRPr="00A15BF6" w:rsidRDefault="00A15BF6" w:rsidP="00A15BF6">
      <w:pPr>
        <w:rPr>
          <w:sz w:val="22"/>
          <w:szCs w:val="22"/>
        </w:rPr>
      </w:pPr>
    </w:p>
    <w:p w:rsidR="00A15BF6" w:rsidRPr="00A15BF6" w:rsidRDefault="00A15BF6" w:rsidP="00A15BF6">
      <w:pPr>
        <w:rPr>
          <w:sz w:val="22"/>
          <w:szCs w:val="22"/>
        </w:rPr>
      </w:pPr>
      <w:r w:rsidRPr="00A15BF6">
        <w:rPr>
          <w:sz w:val="22"/>
          <w:szCs w:val="22"/>
        </w:rPr>
        <w:t>Interestingly, the U.S. Debt downgrade actually acted exactly as I thought.  There still is no other currency in the world that will be the “safe haven” of the U.S. Dollar.  With the uncertainty in Europe and the middle-east, the money flow into U.S. denominated instruments has driven rates down and will continue to do so through 2012.  I look for rates to remain at these all-time lows and continue to test the bottom!  Yes, there is still room for rates to go lower and I wouldn’t be surprised if we tested the all-time lows in 2012.</w:t>
      </w:r>
    </w:p>
    <w:p w:rsidR="00A15BF6" w:rsidRPr="00A15BF6" w:rsidRDefault="00A15BF6" w:rsidP="00A15BF6">
      <w:pPr>
        <w:rPr>
          <w:sz w:val="22"/>
          <w:szCs w:val="22"/>
        </w:rPr>
      </w:pPr>
    </w:p>
    <w:p w:rsidR="00A15BF6" w:rsidRPr="00A15BF6" w:rsidRDefault="00A15BF6" w:rsidP="00A15BF6">
      <w:pPr>
        <w:rPr>
          <w:sz w:val="22"/>
          <w:szCs w:val="22"/>
        </w:rPr>
      </w:pPr>
      <w:r w:rsidRPr="00A15BF6">
        <w:rPr>
          <w:sz w:val="22"/>
          <w:szCs w:val="22"/>
        </w:rPr>
        <w:t xml:space="preserve">As our competitors continue to downsize or exit our industry – we continue to thrive thanks to you.  We wish you a healthy, happy and prosperous 2012. </w:t>
      </w:r>
    </w:p>
    <w:p w:rsidR="00A15BF6" w:rsidRPr="00A15BF6" w:rsidRDefault="00A15BF6" w:rsidP="00A15BF6">
      <w:pPr>
        <w:rPr>
          <w:sz w:val="22"/>
          <w:szCs w:val="22"/>
        </w:rPr>
      </w:pPr>
    </w:p>
    <w:p w:rsidR="00A15BF6" w:rsidRPr="00A15BF6" w:rsidRDefault="00A15BF6" w:rsidP="00A15BF6">
      <w:pPr>
        <w:rPr>
          <w:sz w:val="22"/>
          <w:szCs w:val="22"/>
        </w:rPr>
      </w:pPr>
    </w:p>
    <w:p w:rsidR="00A15BF6" w:rsidRPr="00A15BF6" w:rsidRDefault="00A15BF6" w:rsidP="00A15BF6">
      <w:pPr>
        <w:rPr>
          <w:sz w:val="22"/>
          <w:szCs w:val="22"/>
        </w:rPr>
      </w:pPr>
      <w:r w:rsidRPr="00A15BF6">
        <w:rPr>
          <w:sz w:val="22"/>
          <w:szCs w:val="22"/>
        </w:rPr>
        <w:t>P. Jacob Yadegar</w:t>
      </w:r>
    </w:p>
    <w:p w:rsidR="00A15BF6" w:rsidRPr="00A15BF6" w:rsidRDefault="00A15BF6" w:rsidP="00A15BF6">
      <w:pPr>
        <w:rPr>
          <w:sz w:val="22"/>
          <w:szCs w:val="22"/>
        </w:rPr>
      </w:pPr>
      <w:r w:rsidRPr="00A15BF6">
        <w:rPr>
          <w:sz w:val="22"/>
          <w:szCs w:val="22"/>
        </w:rPr>
        <w:t>Empyrean Funding Inc.</w:t>
      </w:r>
    </w:p>
    <w:p w:rsidR="00A15BF6" w:rsidRPr="00A15BF6" w:rsidRDefault="00A15BF6" w:rsidP="00A15BF6">
      <w:pPr>
        <w:rPr>
          <w:sz w:val="22"/>
          <w:szCs w:val="22"/>
        </w:rPr>
      </w:pPr>
      <w:r w:rsidRPr="00A15BF6">
        <w:rPr>
          <w:sz w:val="22"/>
          <w:szCs w:val="22"/>
        </w:rPr>
        <w:t>Your Mortgage Loan Specialist</w:t>
      </w:r>
    </w:p>
    <w:p w:rsidR="00A15BF6" w:rsidRPr="00A15BF6" w:rsidRDefault="00A15BF6" w:rsidP="00A15BF6">
      <w:pPr>
        <w:rPr>
          <w:sz w:val="22"/>
          <w:szCs w:val="22"/>
        </w:rPr>
      </w:pPr>
      <w:r w:rsidRPr="00A15BF6">
        <w:rPr>
          <w:sz w:val="22"/>
          <w:szCs w:val="22"/>
        </w:rPr>
        <w:t>Commercial and Residential</w:t>
      </w:r>
    </w:p>
    <w:p w:rsidR="00A15BF6" w:rsidRPr="00A15BF6" w:rsidRDefault="00A15BF6" w:rsidP="00A15BF6">
      <w:pPr>
        <w:rPr>
          <w:sz w:val="22"/>
          <w:szCs w:val="22"/>
        </w:rPr>
      </w:pPr>
      <w:r w:rsidRPr="00A15BF6">
        <w:rPr>
          <w:sz w:val="22"/>
          <w:szCs w:val="22"/>
        </w:rPr>
        <w:t>310-571-3672</w:t>
      </w:r>
    </w:p>
    <w:p w:rsidR="00A15BF6" w:rsidRPr="00A15BF6" w:rsidRDefault="00A15BF6" w:rsidP="00A15BF6">
      <w:pPr>
        <w:rPr>
          <w:sz w:val="22"/>
          <w:szCs w:val="22"/>
        </w:rPr>
      </w:pPr>
      <w:r w:rsidRPr="00A15BF6">
        <w:rPr>
          <w:sz w:val="22"/>
          <w:szCs w:val="22"/>
        </w:rPr>
        <w:t xml:space="preserve">310-571-3681 fax    </w:t>
      </w:r>
    </w:p>
    <w:p w:rsidR="00A15BF6" w:rsidRPr="00A15BF6" w:rsidRDefault="00A15BF6" w:rsidP="00A15BF6">
      <w:pPr>
        <w:rPr>
          <w:sz w:val="22"/>
          <w:szCs w:val="22"/>
        </w:rPr>
      </w:pPr>
      <w:r w:rsidRPr="00A15BF6">
        <w:rPr>
          <w:sz w:val="22"/>
          <w:szCs w:val="22"/>
        </w:rPr>
        <w:t xml:space="preserve">www.empyreanfunding.com </w:t>
      </w:r>
    </w:p>
    <w:p w:rsidR="00A15BF6" w:rsidRPr="00A15BF6" w:rsidRDefault="00A15BF6" w:rsidP="00A15BF6">
      <w:pPr>
        <w:rPr>
          <w:sz w:val="22"/>
          <w:szCs w:val="22"/>
        </w:rPr>
      </w:pPr>
      <w:r w:rsidRPr="00A15BF6">
        <w:rPr>
          <w:sz w:val="22"/>
          <w:szCs w:val="22"/>
        </w:rPr>
        <w:t xml:space="preserve"> </w:t>
      </w:r>
    </w:p>
    <w:p w:rsidR="0051566A" w:rsidRPr="00A15BF6" w:rsidRDefault="00A15BF6" w:rsidP="00A15BF6">
      <w:pPr>
        <w:rPr>
          <w:sz w:val="22"/>
          <w:szCs w:val="22"/>
        </w:rPr>
      </w:pPr>
      <w:r w:rsidRPr="00A15BF6">
        <w:rPr>
          <w:sz w:val="22"/>
          <w:szCs w:val="22"/>
        </w:rPr>
        <w:t>Your referrals are the lifeblood of our business!</w:t>
      </w:r>
    </w:p>
    <w:sectPr w:rsidR="0051566A" w:rsidRPr="00A15BF6">
      <w:headerReference w:type="default" r:id="rId9"/>
      <w:footerReference w:type="default" r:id="rId10"/>
      <w:pgSz w:w="12240" w:h="15840"/>
      <w:pgMar w:top="720" w:right="1152" w:bottom="720"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F48" w:rsidRDefault="009C6F48">
      <w:r>
        <w:separator/>
      </w:r>
    </w:p>
  </w:endnote>
  <w:endnote w:type="continuationSeparator" w:id="0">
    <w:p w:rsidR="009C6F48" w:rsidRDefault="009C6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66A" w:rsidRDefault="0051566A">
    <w:pPr>
      <w:pStyle w:val="Footer"/>
      <w:pBdr>
        <w:bottom w:val="single" w:sz="12" w:space="1" w:color="auto"/>
      </w:pBdr>
    </w:pPr>
  </w:p>
  <w:p w:rsidR="0051566A" w:rsidRDefault="0051566A">
    <w:pPr>
      <w:pStyle w:val="Footer"/>
      <w:jc w:val="center"/>
      <w:rPr>
        <w:b/>
      </w:rPr>
    </w:pPr>
    <w:smartTag w:uri="urn:schemas-microsoft-com:office:smarttags" w:element="address">
      <w:smartTag w:uri="urn:schemas-microsoft-com:office:smarttags" w:element="Street">
        <w:r>
          <w:rPr>
            <w:b/>
          </w:rPr>
          <w:t>11677 San Vicente Blvd Suite 206</w:t>
        </w:r>
      </w:smartTag>
      <w:r>
        <w:rPr>
          <w:b/>
        </w:rPr>
        <w:t xml:space="preserve">, </w:t>
      </w:r>
      <w:smartTag w:uri="urn:schemas-microsoft-com:office:smarttags" w:element="City">
        <w:r>
          <w:rPr>
            <w:b/>
          </w:rPr>
          <w:t>Los Angeles</w:t>
        </w:r>
      </w:smartTag>
    </w:smartTag>
    <w:r>
      <w:rPr>
        <w:b/>
      </w:rPr>
      <w:t>, Ca  90049</w:t>
    </w:r>
  </w:p>
  <w:p w:rsidR="0051566A" w:rsidRDefault="0051566A">
    <w:pPr>
      <w:pStyle w:val="Footer"/>
      <w:jc w:val="center"/>
      <w:rPr>
        <w:b/>
      </w:rPr>
    </w:pPr>
    <w:r>
      <w:rPr>
        <w:b/>
      </w:rPr>
      <w:t>Phone (310) 571-3672 Fax (310) 571-3685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F48" w:rsidRDefault="009C6F48">
      <w:r>
        <w:separator/>
      </w:r>
    </w:p>
  </w:footnote>
  <w:footnote w:type="continuationSeparator" w:id="0">
    <w:p w:rsidR="009C6F48" w:rsidRDefault="009C6F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66A" w:rsidRDefault="00A15BF6">
    <w:pPr>
      <w:pStyle w:val="Header"/>
      <w:jc w:val="center"/>
    </w:pPr>
    <w:r>
      <w:rPr>
        <w:noProof/>
      </w:rPr>
      <w:drawing>
        <wp:inline distT="0" distB="0" distL="0" distR="0">
          <wp:extent cx="3905250" cy="971550"/>
          <wp:effectExtent l="0" t="0" r="0" b="0"/>
          <wp:docPr id="1" name="Picture 1" descr="empyre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yrea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0"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42958"/>
    <w:multiLevelType w:val="singleLevel"/>
    <w:tmpl w:val="0409000F"/>
    <w:lvl w:ilvl="0">
      <w:start w:val="1"/>
      <w:numFmt w:val="decimal"/>
      <w:lvlText w:val="%1."/>
      <w:lvlJc w:val="left"/>
      <w:pPr>
        <w:tabs>
          <w:tab w:val="num" w:pos="360"/>
        </w:tabs>
        <w:ind w:left="360" w:hanging="360"/>
      </w:pPr>
    </w:lvl>
  </w:abstractNum>
  <w:abstractNum w:abstractNumId="1">
    <w:nsid w:val="16305284"/>
    <w:multiLevelType w:val="singleLevel"/>
    <w:tmpl w:val="0409000F"/>
    <w:lvl w:ilvl="0">
      <w:start w:val="1"/>
      <w:numFmt w:val="decimal"/>
      <w:lvlText w:val="%1."/>
      <w:lvlJc w:val="left"/>
      <w:pPr>
        <w:tabs>
          <w:tab w:val="num" w:pos="360"/>
        </w:tabs>
        <w:ind w:left="360" w:hanging="360"/>
      </w:pPr>
    </w:lvl>
  </w:abstractNum>
  <w:abstractNum w:abstractNumId="2">
    <w:nsid w:val="2A5F265D"/>
    <w:multiLevelType w:val="singleLevel"/>
    <w:tmpl w:val="0409000F"/>
    <w:lvl w:ilvl="0">
      <w:start w:val="1"/>
      <w:numFmt w:val="decimal"/>
      <w:lvlText w:val="%1."/>
      <w:lvlJc w:val="left"/>
      <w:pPr>
        <w:tabs>
          <w:tab w:val="num" w:pos="360"/>
        </w:tabs>
        <w:ind w:left="360" w:hanging="360"/>
      </w:pPr>
    </w:lvl>
  </w:abstractNum>
  <w:abstractNum w:abstractNumId="3">
    <w:nsid w:val="41A225EA"/>
    <w:multiLevelType w:val="singleLevel"/>
    <w:tmpl w:val="0409000F"/>
    <w:lvl w:ilvl="0">
      <w:start w:val="1"/>
      <w:numFmt w:val="decimal"/>
      <w:lvlText w:val="%1."/>
      <w:lvlJc w:val="left"/>
      <w:pPr>
        <w:tabs>
          <w:tab w:val="num" w:pos="360"/>
        </w:tabs>
        <w:ind w:left="360" w:hanging="360"/>
      </w:pPr>
    </w:lvl>
  </w:abstractNum>
  <w:abstractNum w:abstractNumId="4">
    <w:nsid w:val="450750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0BE4CE4"/>
    <w:multiLevelType w:val="singleLevel"/>
    <w:tmpl w:val="0409000F"/>
    <w:lvl w:ilvl="0">
      <w:start w:val="1"/>
      <w:numFmt w:val="decimal"/>
      <w:lvlText w:val="%1."/>
      <w:lvlJc w:val="left"/>
      <w:pPr>
        <w:tabs>
          <w:tab w:val="num" w:pos="360"/>
        </w:tabs>
        <w:ind w:left="360" w:hanging="360"/>
      </w:pPr>
    </w:lvl>
  </w:abstractNum>
  <w:abstractNum w:abstractNumId="6">
    <w:nsid w:val="60902D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648F7C5F"/>
    <w:multiLevelType w:val="singleLevel"/>
    <w:tmpl w:val="0409000F"/>
    <w:lvl w:ilvl="0">
      <w:start w:val="1"/>
      <w:numFmt w:val="decimal"/>
      <w:lvlText w:val="%1."/>
      <w:lvlJc w:val="left"/>
      <w:pPr>
        <w:tabs>
          <w:tab w:val="num" w:pos="360"/>
        </w:tabs>
        <w:ind w:left="360" w:hanging="360"/>
      </w:pPr>
    </w:lvl>
  </w:abstractNum>
  <w:abstractNum w:abstractNumId="8">
    <w:nsid w:val="68F26C0F"/>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5"/>
  </w:num>
  <w:num w:numId="3">
    <w:abstractNumId w:val="1"/>
  </w:num>
  <w:num w:numId="4">
    <w:abstractNumId w:val="7"/>
  </w:num>
  <w:num w:numId="5">
    <w:abstractNumId w:val="2"/>
  </w:num>
  <w:num w:numId="6">
    <w:abstractNumId w:val="8"/>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BF6"/>
    <w:rsid w:val="00230F00"/>
    <w:rsid w:val="0051566A"/>
    <w:rsid w:val="009C6F48"/>
    <w:rsid w:val="00A15BF6"/>
    <w:rsid w:val="00BE4C8E"/>
    <w:rsid w:val="00DC7126"/>
    <w:rsid w:val="00F72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autoSpaceDE w:val="0"/>
      <w:autoSpaceDN w:val="0"/>
      <w:adjustRightInd w:val="0"/>
      <w:outlineLvl w:val="0"/>
    </w:pPr>
    <w:rPr>
      <w:color w:val="000000"/>
      <w:sz w:val="24"/>
      <w:szCs w:val="1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A15B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autoSpaceDE w:val="0"/>
      <w:autoSpaceDN w:val="0"/>
      <w:adjustRightInd w:val="0"/>
      <w:outlineLvl w:val="0"/>
    </w:pPr>
    <w:rPr>
      <w:color w:val="000000"/>
      <w:sz w:val="24"/>
      <w:szCs w:val="1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A15B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empyreanfunding.com/money.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yadegar\Desktop\Empyrean%20letterhead%20Gener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Empyrean letterhead General</Template>
  <TotalTime>28</TotalTime>
  <Pages>2</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January 17, 2002</vt:lpstr>
    </vt:vector>
  </TitlesOfParts>
  <Company>Stone Castle</Company>
  <LinksUpToDate>false</LinksUpToDate>
  <CharactersWithSpaces>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17, 2002</dc:title>
  <dc:subject/>
  <dc:creator>user </dc:creator>
  <cp:keywords/>
  <cp:lastModifiedBy>user </cp:lastModifiedBy>
  <cp:revision>1</cp:revision>
  <cp:lastPrinted>2006-08-04T00:43:00Z</cp:lastPrinted>
  <dcterms:created xsi:type="dcterms:W3CDTF">2012-01-14T00:11:00Z</dcterms:created>
  <dcterms:modified xsi:type="dcterms:W3CDTF">2012-01-14T00:39:00Z</dcterms:modified>
</cp:coreProperties>
</file>